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bCs/>
          <w:spacing w:val="0"/>
        </w:rPr>
        <w:t>附件1</w:t>
      </w:r>
      <w:bookmarkStart w:id="0" w:name="_GoBack"/>
      <w:bookmarkEnd w:id="0"/>
    </w:p>
    <w:p>
      <w:pPr>
        <w:pStyle w:val="2"/>
        <w:spacing w:line="560" w:lineRule="exact"/>
        <w:ind w:left="0" w:leftChars="0"/>
        <w:jc w:val="center"/>
        <w:rPr>
          <w:rFonts w:hint="eastAsia" w:ascii="方正小标宋简体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0"/>
          <w:sz w:val="36"/>
          <w:szCs w:val="36"/>
        </w:rPr>
        <w:t>舟山市水电气网络报装流程图</w:t>
      </w:r>
    </w:p>
    <w:p>
      <w:pPr>
        <w:pStyle w:val="2"/>
        <w:spacing w:after="0" w:line="240" w:lineRule="auto"/>
        <w:ind w:left="0" w:leftChars="0"/>
        <w:jc w:val="center"/>
        <w:rPr>
          <w:b/>
          <w:bCs/>
          <w:spacing w:val="-20"/>
        </w:rPr>
        <w:sectPr>
          <w:pgSz w:w="11906" w:h="16838"/>
          <w:pgMar w:top="1985" w:right="1588" w:bottom="1701" w:left="1588" w:header="964" w:footer="1418" w:gutter="0"/>
          <w:pgNumType w:fmt="numberInDash"/>
          <w:cols w:space="720" w:num="1"/>
          <w:docGrid w:type="linesAndChars" w:linePitch="579" w:charSpace="1229"/>
        </w:sectPr>
      </w:pPr>
      <w:r>
        <w:rPr>
          <w:rFonts w:hint="eastAsia"/>
          <w:b/>
          <w:bCs/>
          <w:spacing w:val="0"/>
        </w:rPr>
        <w:object>
          <v:shape id="_x0000_i1025" o:spt="75" type="#_x0000_t75" style="height:531pt;width:413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pStyle w:val="2"/>
        <w:spacing w:line="560" w:lineRule="exact"/>
        <w:ind w:left="0" w:leftChars="0"/>
        <w:rPr>
          <w:rFonts w:hint="eastAsia" w:ascii="黑体" w:hAnsi="黑体" w:eastAsia="黑体" w:cs="黑体"/>
          <w:bCs/>
          <w:spacing w:val="0"/>
        </w:rPr>
      </w:pPr>
      <w:r>
        <w:rPr>
          <w:rFonts w:hint="eastAsia" w:ascii="黑体" w:hAnsi="黑体" w:eastAsia="黑体" w:cs="黑体"/>
          <w:bCs/>
          <w:spacing w:val="0"/>
        </w:rPr>
        <w:t>附件2</w:t>
      </w:r>
    </w:p>
    <w:p>
      <w:pPr>
        <w:pStyle w:val="2"/>
        <w:spacing w:line="560" w:lineRule="exact"/>
        <w:ind w:left="0" w:leftChars="0"/>
        <w:jc w:val="center"/>
        <w:rPr>
          <w:rFonts w:hint="eastAsia" w:ascii="方正小标宋简体" w:eastAsia="方正小标宋简体"/>
          <w:b/>
          <w:bCs/>
          <w:spacing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0"/>
          <w:sz w:val="36"/>
          <w:szCs w:val="36"/>
        </w:rPr>
        <w:t>企业用水用电用气用网报装备案事项告知承诺标准（增补）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60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承诺内容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实施标准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Times New Roman" w:cs="宋体"/>
              </w:rPr>
            </w:pPr>
            <w:r>
              <w:rPr>
                <w:rFonts w:hint="eastAsia" w:hAnsi="Times New Roman" w:cs="宋体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/>
              </w:rPr>
            </w:pPr>
            <w:r>
              <w:rPr>
                <w:rFonts w:hint="eastAsia" w:cs="仿宋_GB2312"/>
              </w:rPr>
              <w:t>市政</w:t>
            </w:r>
          </w:p>
          <w:p>
            <w:pPr>
              <w:spacing w:line="560" w:lineRule="exact"/>
              <w:jc w:val="center"/>
              <w:rPr>
                <w:rFonts w:hint="eastAsia" w:hAnsi="Times New Roman" w:cs="宋体"/>
              </w:rPr>
            </w:pPr>
            <w:r>
              <w:rPr>
                <w:rFonts w:hint="eastAsia" w:cs="仿宋_GB2312"/>
              </w:rPr>
              <w:t>道路施工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pacing w:line="560" w:lineRule="exact"/>
              <w:rPr>
                <w:rFonts w:hint="eastAsia" w:hAnsi="Times New Roman" w:cs="宋体"/>
              </w:rPr>
            </w:pPr>
            <w:r>
              <w:rPr>
                <w:rFonts w:hint="eastAsia" w:cs="仿宋_GB2312"/>
              </w:rPr>
              <w:t>按照《城市道路工程技术规范》（GB51286-2018)标准要求实施，确保施工安全，施工不破坏地下管线；施工完成后恢复原状；做到文明施工，设置施工牌、围挡等防护措施齐全；按承诺时限完成。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71D0B"/>
    <w:rsid w:val="605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2021-01-15T08:34:00Z</dcterms:created>
  <dc:creator>QioQio</dc:creator>
  <cp:lastModifiedBy>QioQio</cp:lastModifiedBy>
  <dcterms:modified xsi:type="dcterms:W3CDTF">2021-01-15T08:34:26Z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